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6600" w14:textId="77777777" w:rsidR="0025274B" w:rsidRDefault="00F04A28" w:rsidP="007642D8">
      <w:pPr>
        <w:spacing w:after="0"/>
        <w:rPr>
          <w:rFonts w:ascii="Tahoma" w:hAnsi="Tahoma" w:cs="inherit"/>
        </w:rPr>
      </w:pPr>
      <w:r w:rsidRPr="00F04A28">
        <w:rPr>
          <w:rFonts w:ascii="Tahoma" w:hAnsi="Tahoma" w:cs="inherit"/>
          <w:noProof/>
        </w:rPr>
        <w:drawing>
          <wp:inline distT="0" distB="0" distL="0" distR="0" wp14:anchorId="2DD634E6" wp14:editId="0DB82CB5">
            <wp:extent cx="1543050" cy="9048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40C8E8E3" w14:textId="581C0FEE" w:rsidR="00F04A28" w:rsidRDefault="007642D8" w:rsidP="007642D8">
      <w:pPr>
        <w:spacing w:after="0"/>
        <w:rPr>
          <w:rFonts w:ascii="Tahoma" w:hAnsi="Tahoma" w:cs="inherit"/>
        </w:rPr>
      </w:pPr>
      <w:hyperlink r:id="rId6" w:history="1">
        <w:r w:rsidR="00F04A28" w:rsidRPr="003361C3">
          <w:rPr>
            <w:rStyle w:val="-"/>
            <w:sz w:val="20"/>
            <w:szCs w:val="20"/>
            <w:lang w:eastAsia="en-GB"/>
          </w:rPr>
          <w:t>https://lsionionnison.com/</w:t>
        </w:r>
      </w:hyperlink>
      <w:r w:rsidR="0025274B">
        <w:rPr>
          <w:rFonts w:ascii="Tahoma" w:hAnsi="Tahoma" w:cs="inherit"/>
        </w:rPr>
        <w:t xml:space="preserve"> </w:t>
      </w:r>
    </w:p>
    <w:p w14:paraId="2F595C46" w14:textId="77777777" w:rsidR="007642D8" w:rsidRPr="007642D8" w:rsidRDefault="007642D8" w:rsidP="007642D8">
      <w:pPr>
        <w:spacing w:line="300" w:lineRule="exact"/>
        <w:jc w:val="both"/>
        <w:rPr>
          <w:rFonts w:cstheme="minorHAnsi"/>
        </w:rPr>
      </w:pPr>
    </w:p>
    <w:p w14:paraId="769B32F7" w14:textId="22F86C24" w:rsidR="00F04A28" w:rsidRPr="007642D8" w:rsidRDefault="00F04A28" w:rsidP="007642D8">
      <w:pPr>
        <w:spacing w:line="300" w:lineRule="exact"/>
        <w:jc w:val="both"/>
        <w:rPr>
          <w:rFonts w:cstheme="minorHAnsi"/>
        </w:rPr>
      </w:pPr>
      <w:r w:rsidRPr="007642D8">
        <w:rPr>
          <w:rFonts w:cstheme="minorHAnsi"/>
        </w:rPr>
        <w:t>Στηρίζοντας των αγώνα των εργαζομένων στις κοινωνικές δομές των ΟΤΑ και στα Ιόνια νησιά καταθέτουμε το παρακάτω ψήφισμα στο Π.Σ</w:t>
      </w:r>
    </w:p>
    <w:p w14:paraId="3AFF1A27" w14:textId="77777777" w:rsidR="00F04A28" w:rsidRPr="007642D8" w:rsidRDefault="00F04A28" w:rsidP="007642D8">
      <w:pPr>
        <w:spacing w:line="300" w:lineRule="exact"/>
        <w:jc w:val="both"/>
        <w:rPr>
          <w:rFonts w:cstheme="minorHAnsi"/>
        </w:rPr>
      </w:pPr>
    </w:p>
    <w:p w14:paraId="0CBE1FA3" w14:textId="77777777" w:rsidR="007642D8" w:rsidRPr="007642D8" w:rsidRDefault="0025274B" w:rsidP="007642D8">
      <w:pPr>
        <w:spacing w:after="0" w:line="240" w:lineRule="auto"/>
        <w:jc w:val="center"/>
        <w:rPr>
          <w:rFonts w:cstheme="minorHAnsi"/>
          <w:b/>
          <w:sz w:val="32"/>
          <w:szCs w:val="32"/>
        </w:rPr>
      </w:pPr>
      <w:r w:rsidRPr="007642D8">
        <w:rPr>
          <w:rFonts w:cstheme="minorHAnsi"/>
          <w:b/>
          <w:sz w:val="32"/>
          <w:szCs w:val="32"/>
        </w:rPr>
        <w:t>ΨΗΦΙΣΜΑ ΣΤΗΡΙΞΗΣ ΤΩΝ ΕΡΓΑΖΟΜΕΝΩΝ</w:t>
      </w:r>
    </w:p>
    <w:p w14:paraId="679B1DB6" w14:textId="39B91742" w:rsidR="0025274B" w:rsidRPr="007642D8" w:rsidRDefault="0025274B" w:rsidP="007642D8">
      <w:pPr>
        <w:spacing w:after="0" w:line="240" w:lineRule="auto"/>
        <w:jc w:val="center"/>
        <w:rPr>
          <w:rFonts w:cstheme="minorHAnsi"/>
          <w:b/>
          <w:sz w:val="32"/>
          <w:szCs w:val="32"/>
        </w:rPr>
      </w:pPr>
      <w:r w:rsidRPr="007642D8">
        <w:rPr>
          <w:rFonts w:cstheme="minorHAnsi"/>
          <w:b/>
          <w:sz w:val="32"/>
          <w:szCs w:val="32"/>
        </w:rPr>
        <w:t>ΣΤΙΣ ΚΟΙΝΩΝΙΚΕΣ ΔΟΜΕΣ ΤΩΝ ΟΤΑ</w:t>
      </w:r>
    </w:p>
    <w:p w14:paraId="146BA81B" w14:textId="77777777" w:rsidR="007642D8" w:rsidRDefault="007642D8" w:rsidP="007642D8">
      <w:pPr>
        <w:spacing w:after="0" w:line="300" w:lineRule="exact"/>
        <w:jc w:val="both"/>
        <w:rPr>
          <w:rFonts w:ascii="Tahoma" w:hAnsi="Tahoma" w:cs="inherit"/>
        </w:rPr>
      </w:pPr>
    </w:p>
    <w:p w14:paraId="709C8DA0" w14:textId="78D1670F" w:rsidR="0025274B" w:rsidRPr="007642D8" w:rsidRDefault="0025274B" w:rsidP="007642D8">
      <w:pPr>
        <w:spacing w:after="0" w:line="300" w:lineRule="exact"/>
        <w:jc w:val="both"/>
        <w:rPr>
          <w:rFonts w:ascii="Calibri" w:hAnsi="Calibri" w:cs="Calibri"/>
        </w:rPr>
      </w:pPr>
      <w:r w:rsidRPr="007642D8">
        <w:rPr>
          <w:rFonts w:ascii="Calibri" w:hAnsi="Calibri" w:cs="Calibri"/>
        </w:rPr>
        <w:t xml:space="preserve">Το προσχέδιο διάταξης νόμου της κυβέρνησης με τίτλο "Διαδικασία στελέχωσης για την κάλυψη αναγκών των βρεφονηπιακών και παιδικών σταθμών και Κέντρων Δημιουργικής Απασχόλησης των ΟΤΑ α' και β' βαθμού και των Νομικών Προσώπων Ιδιωτικού Δικαίου αυτών" αφορά σε χιλιάδες εργαζόμενους και εκατοντάδες χιλιάδες παιδιά και γονείς. </w:t>
      </w:r>
    </w:p>
    <w:p w14:paraId="40F22E9B" w14:textId="77777777" w:rsidR="0025274B" w:rsidRPr="007642D8" w:rsidRDefault="0025274B" w:rsidP="007642D8">
      <w:pPr>
        <w:spacing w:after="0" w:line="300" w:lineRule="exact"/>
        <w:jc w:val="both"/>
        <w:rPr>
          <w:rFonts w:ascii="Calibri" w:hAnsi="Calibri" w:cs="Calibri"/>
        </w:rPr>
      </w:pPr>
      <w:r w:rsidRPr="007642D8">
        <w:rPr>
          <w:rFonts w:ascii="Calibri" w:hAnsi="Calibri" w:cs="Calibri"/>
        </w:rPr>
        <w:t>Σηματοδοτεί την εφαρμογή ενός συστήματος πλήρους ανταποδοτικότητας μέσω voucher, η σύνδεση της χρηματοδότησης με τον αριθμό των εξυπηρετούμενων παιδιών και η δημιουργία ενός πανελλαδικού "μητρώου" εργαζομένων ορισμένου χρόνου οδηγούν στην παραπέρα υποβάθμιση κρίσιμων κοινωνικών υπηρεσιών, στην περιπλάνηση των εργαζομένων σε διάφορες δομές, στην ανακύκλωση της ανεργίας και στην εργασιακή ομηρία, στη ναρκοθέτηση της μονιμοποίησης εργαζομένων που προσφέρουν για χρόνια.</w:t>
      </w:r>
    </w:p>
    <w:p w14:paraId="25F2D756" w14:textId="30A9357A" w:rsidR="0025274B" w:rsidRPr="007642D8" w:rsidRDefault="0025274B" w:rsidP="007642D8">
      <w:pPr>
        <w:spacing w:after="0" w:line="300" w:lineRule="exact"/>
        <w:jc w:val="both"/>
        <w:rPr>
          <w:rFonts w:ascii="Calibri" w:hAnsi="Calibri" w:cs="Calibri"/>
        </w:rPr>
      </w:pPr>
      <w:r w:rsidRPr="007642D8">
        <w:rPr>
          <w:rFonts w:ascii="Calibri" w:hAnsi="Calibri" w:cs="Calibri"/>
        </w:rPr>
        <w:t>Στην ήδη οριακή κατάσταση που επικρατεί στους παιδικούς σταθμούς με παιδιά να μένουν εκτός και εργαζόμενους να υπερβάλλουν εαυτούς για να τους κρατήσουν όρθιους, το σχέδιο διάταξης νόμου της κυβέρνησης σηματοδοτεί μια ακόμα χειρότερη επόμενη μέρα για τους εργαζόμενους και τις παρεχόμενες υπηρεσίες.</w:t>
      </w:r>
    </w:p>
    <w:p w14:paraId="703BCEB6" w14:textId="66754410" w:rsidR="0025274B" w:rsidRPr="007642D8" w:rsidRDefault="0025274B" w:rsidP="007642D8">
      <w:pPr>
        <w:spacing w:after="0" w:line="300" w:lineRule="exact"/>
        <w:jc w:val="both"/>
        <w:rPr>
          <w:rFonts w:ascii="Calibri" w:hAnsi="Calibri" w:cs="Calibri"/>
        </w:rPr>
      </w:pPr>
      <w:r w:rsidRPr="007642D8">
        <w:rPr>
          <w:rFonts w:ascii="Calibri" w:hAnsi="Calibri" w:cs="Calibri"/>
        </w:rPr>
        <w:t>Η ανάγκη για κοινωνικές υπηρεσίες, για προσχολική αγωγή, δεν είναι κόστος, είναι δικαίωμα.</w:t>
      </w:r>
    </w:p>
    <w:p w14:paraId="41761F77" w14:textId="3BC1033D" w:rsidR="0025274B" w:rsidRPr="007642D8" w:rsidRDefault="0025274B" w:rsidP="007642D8">
      <w:pPr>
        <w:spacing w:after="0" w:line="300" w:lineRule="exact"/>
        <w:jc w:val="both"/>
        <w:rPr>
          <w:rFonts w:ascii="Calibri" w:hAnsi="Calibri" w:cs="Calibri"/>
        </w:rPr>
      </w:pPr>
      <w:r w:rsidRPr="007642D8">
        <w:rPr>
          <w:rFonts w:ascii="Calibri" w:hAnsi="Calibri" w:cs="Calibri"/>
        </w:rPr>
        <w:t>Την ίδια στιγμή που δίνονται δις ευρώ για πολεμικές δαπάνες, πετσοκόβονται δαπάνες για ζωτικές ανάγκες των λαϊκών νοικοκυριών.</w:t>
      </w:r>
    </w:p>
    <w:p w14:paraId="6BA2021A" w14:textId="76A60470" w:rsidR="0025274B" w:rsidRPr="007642D8" w:rsidRDefault="0025274B" w:rsidP="007642D8">
      <w:pPr>
        <w:spacing w:after="0" w:line="300" w:lineRule="exact"/>
        <w:jc w:val="both"/>
        <w:rPr>
          <w:rFonts w:ascii="Calibri" w:hAnsi="Calibri" w:cs="Calibri"/>
        </w:rPr>
      </w:pPr>
      <w:r w:rsidRPr="007642D8">
        <w:rPr>
          <w:rFonts w:ascii="Calibri" w:hAnsi="Calibri" w:cs="Calibri"/>
        </w:rPr>
        <w:t xml:space="preserve">Στηρίζουμε και συμμετέχουμε στις κινητοποιήσεις </w:t>
      </w:r>
      <w:r w:rsidR="00F04A28" w:rsidRPr="007642D8">
        <w:rPr>
          <w:rFonts w:ascii="Calibri" w:hAnsi="Calibri" w:cs="Calibri"/>
        </w:rPr>
        <w:t xml:space="preserve">και τους αγώνες </w:t>
      </w:r>
      <w:r w:rsidRPr="007642D8">
        <w:rPr>
          <w:rFonts w:ascii="Calibri" w:hAnsi="Calibri" w:cs="Calibri"/>
        </w:rPr>
        <w:t xml:space="preserve">των εργαζομένων και τα </w:t>
      </w:r>
      <w:r w:rsidR="00F04A28" w:rsidRPr="007642D8">
        <w:rPr>
          <w:rFonts w:ascii="Calibri" w:hAnsi="Calibri" w:cs="Calibri"/>
        </w:rPr>
        <w:t>δίκαια αιτήματα τους.</w:t>
      </w:r>
    </w:p>
    <w:p w14:paraId="41379289" w14:textId="5A052F40" w:rsidR="0025274B" w:rsidRPr="007642D8" w:rsidRDefault="0025274B" w:rsidP="007642D8">
      <w:pPr>
        <w:spacing w:after="0" w:line="300" w:lineRule="exact"/>
        <w:jc w:val="both"/>
        <w:rPr>
          <w:rStyle w:val="a3"/>
          <w:rFonts w:ascii="Calibri" w:hAnsi="Calibri" w:cs="Calibri"/>
          <w:lang w:eastAsia="zh-CN" w:bidi="hi-IN"/>
        </w:rPr>
      </w:pPr>
      <w:r w:rsidRPr="007642D8">
        <w:rPr>
          <w:rFonts w:ascii="Calibri" w:hAnsi="Calibri" w:cs="Calibri"/>
        </w:rPr>
        <w:t>Διεκδικούμε:</w:t>
      </w:r>
    </w:p>
    <w:p w14:paraId="0BFD6B9D" w14:textId="1B2F3777" w:rsidR="0025274B" w:rsidRPr="007642D8" w:rsidRDefault="0025274B" w:rsidP="007642D8">
      <w:pPr>
        <w:pStyle w:val="a4"/>
        <w:numPr>
          <w:ilvl w:val="0"/>
          <w:numId w:val="2"/>
        </w:numPr>
        <w:tabs>
          <w:tab w:val="clear" w:pos="720"/>
        </w:tabs>
        <w:spacing w:after="0" w:line="300" w:lineRule="exact"/>
        <w:jc w:val="both"/>
        <w:rPr>
          <w:rFonts w:cs="Calibri"/>
          <w:sz w:val="22"/>
          <w:szCs w:val="22"/>
        </w:rPr>
      </w:pPr>
      <w:r w:rsidRPr="007642D8">
        <w:rPr>
          <w:rStyle w:val="a3"/>
          <w:rFonts w:cs="Calibri"/>
          <w:sz w:val="22"/>
          <w:szCs w:val="22"/>
        </w:rPr>
        <w:t>Εδώ και τώρα να αποσυρθεί η διάταξη νόμου για τους εργαζόμενους στους παιδικούς σταθμούς και στις κοινωνικές δομές των δήμων.</w:t>
      </w:r>
    </w:p>
    <w:p w14:paraId="14161159" w14:textId="77777777" w:rsidR="0025274B" w:rsidRPr="007642D8" w:rsidRDefault="0025274B" w:rsidP="007642D8">
      <w:pPr>
        <w:pStyle w:val="a4"/>
        <w:numPr>
          <w:ilvl w:val="0"/>
          <w:numId w:val="1"/>
        </w:numPr>
        <w:tabs>
          <w:tab w:val="clear" w:pos="709"/>
        </w:tabs>
        <w:spacing w:after="0" w:line="300" w:lineRule="exact"/>
        <w:ind w:left="720" w:hanging="360"/>
        <w:jc w:val="both"/>
        <w:rPr>
          <w:rFonts w:cs="Calibri"/>
          <w:sz w:val="22"/>
          <w:szCs w:val="22"/>
        </w:rPr>
      </w:pPr>
      <w:r w:rsidRPr="007642D8">
        <w:rPr>
          <w:rFonts w:cs="Calibri"/>
          <w:sz w:val="22"/>
          <w:szCs w:val="22"/>
        </w:rPr>
        <w:t>Μονιμοποίηση όλων των εργαζομένων και σε αυτές τις δομές χωρίς όρους και προϋποθέσεις. Μαζικές προσλήψεις εργαζομένων στο ύψος των πραγματικών αναγκών για τη λειτουργία όλων των κοινωνικών δομών με μόνιμη και σταθερή εργασία για όλους,. Κατάργηση της διάταξης Βορίδη.</w:t>
      </w:r>
    </w:p>
    <w:p w14:paraId="2DA4365C" w14:textId="77777777" w:rsidR="0025274B" w:rsidRPr="007642D8" w:rsidRDefault="0025274B" w:rsidP="007642D8">
      <w:pPr>
        <w:pStyle w:val="a4"/>
        <w:numPr>
          <w:ilvl w:val="0"/>
          <w:numId w:val="1"/>
        </w:numPr>
        <w:tabs>
          <w:tab w:val="clear" w:pos="709"/>
        </w:tabs>
        <w:spacing w:after="0" w:line="300" w:lineRule="exact"/>
        <w:ind w:left="720" w:hanging="360"/>
        <w:jc w:val="both"/>
        <w:rPr>
          <w:rFonts w:cs="Calibri"/>
          <w:sz w:val="22"/>
          <w:szCs w:val="22"/>
        </w:rPr>
      </w:pPr>
      <w:r w:rsidRPr="007642D8">
        <w:rPr>
          <w:rFonts w:cs="Calibri"/>
          <w:sz w:val="22"/>
          <w:szCs w:val="22"/>
        </w:rPr>
        <w:t>Πλήρη χρηματοδότηση των κοινωνικών δομών από τον κρατικό προϋπολογισμό στο ύψος των πραγματικών αναγκών για να μη μένει κανένα παιδί έξω τις δομές. Κατάργηση του καθεστώτος των voucher, της ανταποδοτικότητας και της επιχειρηματικής λειτουργίας.</w:t>
      </w:r>
    </w:p>
    <w:p w14:paraId="0FC635A6" w14:textId="77777777" w:rsidR="0025274B" w:rsidRPr="007642D8" w:rsidRDefault="0025274B" w:rsidP="007642D8">
      <w:pPr>
        <w:pStyle w:val="a4"/>
        <w:numPr>
          <w:ilvl w:val="0"/>
          <w:numId w:val="1"/>
        </w:numPr>
        <w:tabs>
          <w:tab w:val="clear" w:pos="709"/>
        </w:tabs>
        <w:spacing w:after="0" w:line="300" w:lineRule="exact"/>
        <w:ind w:left="720" w:hanging="360"/>
        <w:jc w:val="both"/>
        <w:rPr>
          <w:rStyle w:val="a3"/>
          <w:rFonts w:cs="Calibri"/>
          <w:sz w:val="22"/>
          <w:szCs w:val="22"/>
        </w:rPr>
      </w:pPr>
      <w:r w:rsidRPr="007642D8">
        <w:rPr>
          <w:rFonts w:cs="Calibri"/>
          <w:sz w:val="22"/>
          <w:szCs w:val="22"/>
        </w:rPr>
        <w:t>Αναβάθμιση και διεύρυνση των παρεχόμενων υπηρεσιών προς τα παιδιά και τα άτομα με αναπηρία, υπηρεσίες που δεν μπορούν να εξαρτώνται από "κουπόνια". Ολόπλευρη στήριξη στις οικογένειές τους.</w:t>
      </w:r>
    </w:p>
    <w:p w14:paraId="3D5981D2" w14:textId="5DF547A8" w:rsidR="00F75876" w:rsidRPr="007642D8" w:rsidRDefault="0025274B" w:rsidP="007642D8">
      <w:pPr>
        <w:pStyle w:val="a4"/>
        <w:numPr>
          <w:ilvl w:val="0"/>
          <w:numId w:val="1"/>
        </w:numPr>
        <w:tabs>
          <w:tab w:val="clear" w:pos="709"/>
        </w:tabs>
        <w:spacing w:after="0" w:line="300" w:lineRule="exact"/>
        <w:ind w:left="720" w:hanging="360"/>
        <w:jc w:val="both"/>
        <w:rPr>
          <w:rFonts w:cs="Calibri"/>
          <w:sz w:val="22"/>
          <w:szCs w:val="22"/>
        </w:rPr>
      </w:pPr>
      <w:r w:rsidRPr="007642D8">
        <w:rPr>
          <w:rStyle w:val="a3"/>
          <w:rFonts w:cs="Calibri"/>
          <w:sz w:val="22"/>
          <w:szCs w:val="22"/>
        </w:rPr>
        <w:t>Ειδική χρηματοδότηση για την ανάπτυξη του δικτύου δομών προσχολικής αγωγής και ΚΔΑΠ.</w:t>
      </w:r>
    </w:p>
    <w:sectPr w:rsidR="00F75876" w:rsidRPr="007642D8" w:rsidSect="00BD1F1F">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0EA" w:usb2="00000000" w:usb3="00000000" w:csb0="00000001" w:csb1="00000000"/>
  </w:font>
  <w:font w:name="Calibri">
    <w:panose1 w:val="020F0502020204030204"/>
    <w:charset w:val="A1"/>
    <w:family w:val="swiss"/>
    <w:pitch w:val="variable"/>
    <w:sig w:usb0="E4002EFF" w:usb1="C200247B" w:usb2="00000009" w:usb3="00000000" w:csb0="000001FF" w:csb1="00000000"/>
  </w:font>
  <w:font w:name="Noto Serif CJK SC">
    <w:altName w:val="Times New Roman"/>
    <w:charset w:val="01"/>
    <w:family w:val="auto"/>
    <w:pitch w:val="variable"/>
  </w:font>
  <w:font w:name="Lohit Devanagari">
    <w:altName w:val="Times New Roman"/>
    <w:charset w:val="01"/>
    <w:family w:val="auto"/>
    <w:pitch w:val="variable"/>
  </w:font>
  <w:font w:name="Tahoma">
    <w:panose1 w:val="020B0604030504040204"/>
    <w:charset w:val="A1"/>
    <w:family w:val="swiss"/>
    <w:pitch w:val="variable"/>
    <w:sig w:usb0="E1002EFF" w:usb1="C000605B" w:usb2="00000029" w:usb3="00000000" w:csb0="000101FF" w:csb1="00000000"/>
  </w:font>
  <w:font w:name="inherit">
    <w:altName w:val="Times New Roman"/>
    <w:charset w:val="01"/>
    <w:family w:val="auto"/>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09"/>
        </w:tabs>
        <w:ind w:left="709" w:hanging="283"/>
      </w:pPr>
      <w:rPr>
        <w:rFonts w:ascii="Symbol" w:hAnsi="Symbol"/>
      </w:rPr>
    </w:lvl>
    <w:lvl w:ilvl="1">
      <w:start w:val="1"/>
      <w:numFmt w:val="bullet"/>
      <w:lvlText w:val=""/>
      <w:lvlJc w:val="left"/>
      <w:pPr>
        <w:tabs>
          <w:tab w:val="num" w:pos="1418"/>
        </w:tabs>
        <w:ind w:left="1418" w:hanging="283"/>
      </w:pPr>
      <w:rPr>
        <w:rFonts w:ascii="Symbol" w:hAnsi="Symbol"/>
      </w:rPr>
    </w:lvl>
    <w:lvl w:ilvl="2">
      <w:start w:val="1"/>
      <w:numFmt w:val="bullet"/>
      <w:lvlText w:val=""/>
      <w:lvlJc w:val="left"/>
      <w:pPr>
        <w:tabs>
          <w:tab w:val="num" w:pos="2127"/>
        </w:tabs>
        <w:ind w:left="2127" w:hanging="283"/>
      </w:pPr>
      <w:rPr>
        <w:rFonts w:ascii="Symbol" w:hAnsi="Symbol"/>
      </w:rPr>
    </w:lvl>
    <w:lvl w:ilvl="3">
      <w:start w:val="1"/>
      <w:numFmt w:val="bullet"/>
      <w:lvlText w:val=""/>
      <w:lvlJc w:val="left"/>
      <w:pPr>
        <w:tabs>
          <w:tab w:val="num" w:pos="2836"/>
        </w:tabs>
        <w:ind w:left="2836" w:hanging="283"/>
      </w:pPr>
      <w:rPr>
        <w:rFonts w:ascii="Symbol" w:hAnsi="Symbol"/>
      </w:rPr>
    </w:lvl>
    <w:lvl w:ilvl="4">
      <w:start w:val="1"/>
      <w:numFmt w:val="bullet"/>
      <w:lvlText w:val=""/>
      <w:lvlJc w:val="left"/>
      <w:pPr>
        <w:tabs>
          <w:tab w:val="num" w:pos="3545"/>
        </w:tabs>
        <w:ind w:left="3545" w:hanging="283"/>
      </w:pPr>
      <w:rPr>
        <w:rFonts w:ascii="Symbol" w:hAnsi="Symbol"/>
      </w:rPr>
    </w:lvl>
    <w:lvl w:ilvl="5">
      <w:start w:val="1"/>
      <w:numFmt w:val="bullet"/>
      <w:lvlText w:val=""/>
      <w:lvlJc w:val="left"/>
      <w:pPr>
        <w:tabs>
          <w:tab w:val="num" w:pos="4254"/>
        </w:tabs>
        <w:ind w:left="4254" w:hanging="283"/>
      </w:pPr>
      <w:rPr>
        <w:rFonts w:ascii="Symbol" w:hAnsi="Symbol"/>
      </w:rPr>
    </w:lvl>
    <w:lvl w:ilvl="6">
      <w:start w:val="1"/>
      <w:numFmt w:val="bullet"/>
      <w:lvlText w:val=""/>
      <w:lvlJc w:val="left"/>
      <w:pPr>
        <w:tabs>
          <w:tab w:val="num" w:pos="4963"/>
        </w:tabs>
        <w:ind w:left="4963" w:hanging="283"/>
      </w:pPr>
      <w:rPr>
        <w:rFonts w:ascii="Symbol" w:hAnsi="Symbol"/>
      </w:rPr>
    </w:lvl>
    <w:lvl w:ilvl="7">
      <w:start w:val="1"/>
      <w:numFmt w:val="bullet"/>
      <w:lvlText w:val=""/>
      <w:lvlJc w:val="left"/>
      <w:pPr>
        <w:tabs>
          <w:tab w:val="num" w:pos="5672"/>
        </w:tabs>
        <w:ind w:left="5672" w:hanging="283"/>
      </w:pPr>
      <w:rPr>
        <w:rFonts w:ascii="Symbol" w:hAnsi="Symbol"/>
      </w:rPr>
    </w:lvl>
    <w:lvl w:ilvl="8">
      <w:start w:val="1"/>
      <w:numFmt w:val="bullet"/>
      <w:lvlText w:val=""/>
      <w:lvlJc w:val="left"/>
      <w:pPr>
        <w:tabs>
          <w:tab w:val="num" w:pos="6381"/>
        </w:tabs>
        <w:ind w:left="6381" w:hanging="283"/>
      </w:pPr>
      <w:rPr>
        <w:rFonts w:ascii="Symbol" w:hAnsi="Symbol"/>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274B"/>
    <w:rsid w:val="0025274B"/>
    <w:rsid w:val="007642D8"/>
    <w:rsid w:val="00BD1F1F"/>
    <w:rsid w:val="00F04A28"/>
    <w:rsid w:val="00F758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0EDB"/>
  <w15:docId w15:val="{BC0E5083-4747-450A-BD85-36F23EA2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5274B"/>
    <w:rPr>
      <w:b/>
      <w:bCs/>
    </w:rPr>
  </w:style>
  <w:style w:type="paragraph" w:styleId="a4">
    <w:name w:val="Body Text"/>
    <w:basedOn w:val="a"/>
    <w:link w:val="Char"/>
    <w:rsid w:val="0025274B"/>
    <w:pPr>
      <w:suppressAutoHyphens/>
      <w:spacing w:after="140"/>
    </w:pPr>
    <w:rPr>
      <w:rFonts w:ascii="Calibri" w:eastAsia="Noto Serif CJK SC" w:hAnsi="Calibri" w:cs="Lohit Devanagari"/>
      <w:kern w:val="2"/>
      <w:sz w:val="24"/>
      <w:szCs w:val="24"/>
      <w:lang w:eastAsia="zh-CN" w:bidi="hi-IN"/>
    </w:rPr>
  </w:style>
  <w:style w:type="character" w:customStyle="1" w:styleId="Char">
    <w:name w:val="Σώμα κειμένου Char"/>
    <w:basedOn w:val="a0"/>
    <w:link w:val="a4"/>
    <w:rsid w:val="0025274B"/>
    <w:rPr>
      <w:rFonts w:ascii="Calibri" w:eastAsia="Noto Serif CJK SC" w:hAnsi="Calibri" w:cs="Lohit Devanagari"/>
      <w:kern w:val="2"/>
      <w:sz w:val="24"/>
      <w:szCs w:val="24"/>
      <w:lang w:eastAsia="zh-CN" w:bidi="hi-IN"/>
    </w:rPr>
  </w:style>
  <w:style w:type="paragraph" w:styleId="a5">
    <w:name w:val="Balloon Text"/>
    <w:basedOn w:val="a"/>
    <w:link w:val="Char0"/>
    <w:uiPriority w:val="99"/>
    <w:semiHidden/>
    <w:unhideWhenUsed/>
    <w:rsid w:val="00F04A28"/>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04A28"/>
    <w:rPr>
      <w:rFonts w:ascii="Tahoma" w:hAnsi="Tahoma" w:cs="Tahoma"/>
      <w:sz w:val="16"/>
      <w:szCs w:val="16"/>
    </w:rPr>
  </w:style>
  <w:style w:type="character" w:styleId="-">
    <w:name w:val="Hyperlink"/>
    <w:unhideWhenUsed/>
    <w:rsid w:val="00F04A2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408</Words>
  <Characters>2208</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4</cp:revision>
  <dcterms:created xsi:type="dcterms:W3CDTF">2026-04-24T05:33:00Z</dcterms:created>
  <dcterms:modified xsi:type="dcterms:W3CDTF">2026-04-24T11:43:00Z</dcterms:modified>
</cp:coreProperties>
</file>